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7C8E52B" w:rsidR="00931FFC" w:rsidRPr="008710CD" w:rsidRDefault="00846A43" w:rsidP="008710CD">
            <w:pPr>
              <w:rPr>
                <w:sz w:val="18"/>
                <w:szCs w:val="18"/>
              </w:rPr>
            </w:pPr>
            <w:r>
              <w:rPr>
                <w:sz w:val="18"/>
                <w:szCs w:val="18"/>
                <w:lang w:val="en-US"/>
              </w:rPr>
              <w:t>EURUSD</w:t>
            </w:r>
            <w:r w:rsidR="00E038E5">
              <w:rPr>
                <w:sz w:val="18"/>
                <w:szCs w:val="18"/>
              </w:rPr>
              <w:t>1</w:t>
            </w:r>
            <w:r w:rsidR="005E0A63" w:rsidRPr="00BF1285">
              <w:rPr>
                <w:sz w:val="18"/>
                <w:szCs w:val="18"/>
                <w:lang w:val="en-US"/>
              </w:rPr>
              <w:t>MFRC</w:t>
            </w:r>
            <w:r w:rsidR="008710CD">
              <w:rPr>
                <w:sz w:val="18"/>
                <w:szCs w:val="18"/>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009A57A" w:rsidR="00320135" w:rsidRPr="00693700" w:rsidRDefault="008E69AE" w:rsidP="008E69AE">
            <w:pPr>
              <w:rPr>
                <w:b/>
                <w:bCs/>
                <w:sz w:val="18"/>
                <w:szCs w:val="18"/>
                <w:lang w:val="en-US"/>
              </w:rPr>
            </w:pPr>
            <w:r>
              <w:rPr>
                <w:sz w:val="18"/>
                <w:szCs w:val="18"/>
              </w:rPr>
              <w:t>17</w:t>
            </w:r>
            <w:r w:rsidR="005B1F1F" w:rsidRPr="00BF1285">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693700">
              <w:rPr>
                <w:sz w:val="18"/>
                <w:szCs w:val="18"/>
              </w:rPr>
              <w:t>2</w:t>
            </w:r>
            <w:r w:rsidR="00693700">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56DB842" w:rsidR="006466A0" w:rsidRPr="003512D9" w:rsidRDefault="006466A0" w:rsidP="00E038E5">
            <w:pPr>
              <w:jc w:val="both"/>
              <w:rPr>
                <w:sz w:val="18"/>
                <w:szCs w:val="18"/>
              </w:rPr>
            </w:pPr>
            <w:r w:rsidRPr="003512D9">
              <w:rPr>
                <w:sz w:val="18"/>
                <w:szCs w:val="18"/>
              </w:rPr>
              <w:t xml:space="preserve">έως </w:t>
            </w:r>
            <w:r w:rsidR="00A47A6A">
              <w:rPr>
                <w:sz w:val="18"/>
                <w:szCs w:val="18"/>
              </w:rPr>
              <w:t xml:space="preserve">και </w:t>
            </w:r>
            <w:r w:rsidR="00E038E5">
              <w:rPr>
                <w:b/>
                <w:sz w:val="18"/>
                <w:szCs w:val="18"/>
                <w:lang w:val="en-US"/>
              </w:rPr>
              <w:t>1</w:t>
            </w:r>
            <w:r w:rsidR="00846A43">
              <w:rPr>
                <w:b/>
                <w:sz w:val="18"/>
                <w:szCs w:val="18"/>
              </w:rPr>
              <w:t xml:space="preserve"> μήν</w:t>
            </w:r>
            <w:r w:rsidR="00E038E5">
              <w:rPr>
                <w:b/>
                <w:sz w:val="18"/>
                <w:szCs w:val="18"/>
              </w:rPr>
              <w:t>α</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F198D85" w:rsidR="00DD0C05" w:rsidRPr="003512D9" w:rsidRDefault="006466A0" w:rsidP="008465BA">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5B1F1F" w:rsidRPr="00BF1285">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CB13E8A"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8710CD">
              <w:rPr>
                <w:sz w:val="18"/>
                <w:szCs w:val="18"/>
              </w:rPr>
              <w:t>χαμ</w:t>
            </w:r>
            <w:r w:rsidR="005B1F1F" w:rsidRPr="00BF1285">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508074A" w:rsidR="003512D9" w:rsidRPr="00030640" w:rsidRDefault="00693700"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00C8D69" wp14:editId="7C999B5B">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4AD8922" w14:textId="77777777" w:rsidR="00693700" w:rsidRPr="0075624E" w:rsidRDefault="00693700" w:rsidP="00693700">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072B4CC" w14:textId="77777777" w:rsidR="00693700" w:rsidRPr="0075624E" w:rsidRDefault="00693700" w:rsidP="00693700">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B8EA89C" w14:textId="77777777" w:rsidR="00693700" w:rsidRPr="007B6CA7" w:rsidRDefault="00693700" w:rsidP="00693700">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AE752D8" w14:textId="77777777" w:rsidR="00693700" w:rsidRPr="0075624E" w:rsidRDefault="00693700" w:rsidP="00693700">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7621124" w14:textId="77777777" w:rsidR="00693700" w:rsidRPr="007B6CA7" w:rsidRDefault="00693700" w:rsidP="00693700">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83888C5" w14:textId="77777777" w:rsidR="00693700" w:rsidRPr="008F7CB4" w:rsidRDefault="00693700" w:rsidP="00693700">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BE39640" w14:textId="77777777" w:rsidR="00693700" w:rsidRPr="0075624E" w:rsidRDefault="00693700" w:rsidP="00693700">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0C8D69"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4AD8922" w14:textId="77777777" w:rsidR="00693700" w:rsidRPr="0075624E" w:rsidRDefault="00693700" w:rsidP="00693700">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072B4CC" w14:textId="77777777" w:rsidR="00693700" w:rsidRPr="0075624E" w:rsidRDefault="00693700" w:rsidP="00693700">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6B8EA89C" w14:textId="77777777" w:rsidR="00693700" w:rsidRPr="007B6CA7" w:rsidRDefault="00693700" w:rsidP="00693700">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AE752D8" w14:textId="77777777" w:rsidR="00693700" w:rsidRPr="0075624E" w:rsidRDefault="00693700" w:rsidP="00693700">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7621124" w14:textId="77777777" w:rsidR="00693700" w:rsidRPr="007B6CA7" w:rsidRDefault="00693700" w:rsidP="00693700">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83888C5" w14:textId="77777777" w:rsidR="00693700" w:rsidRPr="008F7CB4" w:rsidRDefault="00693700" w:rsidP="00693700">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BE39640" w14:textId="77777777" w:rsidR="00693700" w:rsidRPr="0075624E" w:rsidRDefault="00693700" w:rsidP="00693700">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69EFE925"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846A43">
                    <w:rPr>
                      <w:rFonts w:ascii="Arial" w:hAnsi="Arial" w:cs="Arial"/>
                      <w:bCs/>
                      <w:i/>
                      <w:sz w:val="18"/>
                      <w:szCs w:val="18"/>
                    </w:rPr>
                    <w:t>το</w:t>
                  </w:r>
                  <w:r w:rsidR="00E038E5">
                    <w:rPr>
                      <w:rFonts w:ascii="Arial" w:hAnsi="Arial" w:cs="Arial"/>
                      <w:bCs/>
                      <w:i/>
                      <w:sz w:val="18"/>
                      <w:szCs w:val="18"/>
                    </w:rPr>
                    <w:t>ν 1</w:t>
                  </w:r>
                  <w:r w:rsidR="00846A43">
                    <w:rPr>
                      <w:rFonts w:ascii="Arial" w:hAnsi="Arial" w:cs="Arial"/>
                      <w:bCs/>
                      <w:i/>
                      <w:sz w:val="18"/>
                      <w:szCs w:val="18"/>
                    </w:rPr>
                    <w:t xml:space="preserve"> μήν</w:t>
                  </w:r>
                  <w:r w:rsidR="00E038E5">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482469D3"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8710CD">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1DF3D74B" w:rsidR="003E5B2D" w:rsidRPr="00E038E5" w:rsidRDefault="008710CD" w:rsidP="003E5B2D">
            <w:pPr>
              <w:jc w:val="cente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DD74E8">
              <w:rPr>
                <w:rFonts w:ascii="Arial" w:hAnsi="Arial" w:cs="Arial"/>
                <w:sz w:val="18"/>
                <w:szCs w:val="18"/>
                <w:lang w:val="en-US"/>
              </w:rPr>
              <w:t>9</w:t>
            </w:r>
            <w:r w:rsidR="008C0830" w:rsidRPr="00BF1285">
              <w:rPr>
                <w:rFonts w:ascii="Arial" w:hAnsi="Arial" w:cs="Arial"/>
                <w:sz w:val="18"/>
                <w:szCs w:val="18"/>
                <w:lang w:val="en-US"/>
              </w:rPr>
              <w:t>.</w:t>
            </w:r>
            <w:r w:rsidR="00DD74E8">
              <w:rPr>
                <w:rFonts w:ascii="Arial" w:hAnsi="Arial" w:cs="Arial"/>
                <w:sz w:val="18"/>
                <w:szCs w:val="18"/>
                <w:lang w:val="en-US"/>
              </w:rPr>
              <w:t>065</w:t>
            </w:r>
          </w:p>
          <w:p w14:paraId="314190E8" w14:textId="2E362B4A" w:rsidR="00C26762" w:rsidRPr="00BF1285" w:rsidRDefault="003E5B2D" w:rsidP="00DD74E8">
            <w:pPr>
              <w:jc w:val="center"/>
              <w:rPr>
                <w:rFonts w:ascii="Arial" w:hAnsi="Arial" w:cs="Arial"/>
                <w:sz w:val="18"/>
                <w:szCs w:val="18"/>
              </w:rPr>
            </w:pPr>
            <w:r w:rsidRPr="00BF1285">
              <w:rPr>
                <w:rFonts w:ascii="Arial" w:hAnsi="Arial" w:cs="Arial"/>
                <w:sz w:val="18"/>
                <w:szCs w:val="18"/>
              </w:rPr>
              <w:t>(</w:t>
            </w:r>
            <w:r w:rsidR="00DD74E8">
              <w:rPr>
                <w:rFonts w:ascii="Arial" w:hAnsi="Arial" w:cs="Arial"/>
                <w:sz w:val="18"/>
                <w:szCs w:val="18"/>
                <w:lang w:val="en-US"/>
              </w:rPr>
              <w:t>90</w:t>
            </w:r>
            <w:r w:rsidR="008C0830" w:rsidRPr="00BF1285">
              <w:rPr>
                <w:rFonts w:ascii="Arial" w:hAnsi="Arial" w:cs="Arial"/>
                <w:sz w:val="18"/>
                <w:szCs w:val="18"/>
                <w:lang w:val="en-US"/>
              </w:rPr>
              <w:t>,</w:t>
            </w:r>
            <w:r w:rsidR="00DD74E8">
              <w:rPr>
                <w:rFonts w:ascii="Arial" w:hAnsi="Arial" w:cs="Arial"/>
                <w:sz w:val="18"/>
                <w:szCs w:val="18"/>
                <w:lang w:val="en-US"/>
              </w:rPr>
              <w:t>65</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B328A95" w14:textId="34B21E73" w:rsidR="00693700" w:rsidRDefault="008710CD" w:rsidP="00693700">
            <w:pPr>
              <w:jc w:val="center"/>
              <w:rPr>
                <w:rFonts w:ascii="Arial" w:hAnsi="Arial" w:cs="Arial"/>
                <w:sz w:val="18"/>
                <w:szCs w:val="18"/>
              </w:rPr>
            </w:pPr>
            <w:r>
              <w:rPr>
                <w:rFonts w:ascii="Arial" w:hAnsi="Arial" w:cs="Arial"/>
                <w:sz w:val="18"/>
                <w:szCs w:val="18"/>
                <w:lang w:val="en-US"/>
              </w:rPr>
              <w:t>USD</w:t>
            </w:r>
            <w:r w:rsidR="003E5B2D" w:rsidRPr="00BF1285">
              <w:rPr>
                <w:rFonts w:ascii="Arial" w:hAnsi="Arial" w:cs="Arial"/>
                <w:sz w:val="18"/>
                <w:szCs w:val="18"/>
              </w:rPr>
              <w:t xml:space="preserve"> </w:t>
            </w:r>
            <w:r w:rsidR="00BF4ED8">
              <w:rPr>
                <w:rFonts w:ascii="Arial" w:hAnsi="Arial" w:cs="Arial"/>
                <w:sz w:val="18"/>
                <w:szCs w:val="18"/>
                <w:lang w:val="en-US"/>
              </w:rPr>
              <w:t>9</w:t>
            </w:r>
            <w:r w:rsidR="008C0830" w:rsidRPr="00BF1285">
              <w:rPr>
                <w:rFonts w:ascii="Arial" w:hAnsi="Arial" w:cs="Arial"/>
                <w:sz w:val="18"/>
                <w:szCs w:val="18"/>
                <w:lang w:val="en-US"/>
              </w:rPr>
              <w:t>.</w:t>
            </w:r>
            <w:r w:rsidR="00DD74E8">
              <w:rPr>
                <w:rFonts w:ascii="Arial" w:hAnsi="Arial" w:cs="Arial"/>
                <w:sz w:val="18"/>
                <w:szCs w:val="18"/>
              </w:rPr>
              <w:t>797</w:t>
            </w:r>
          </w:p>
          <w:p w14:paraId="3044D2F0" w14:textId="2607E07D" w:rsidR="00C26762" w:rsidRPr="00BF1285" w:rsidRDefault="003E5B2D" w:rsidP="00DD74E8">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DD74E8">
              <w:rPr>
                <w:rFonts w:ascii="Arial" w:hAnsi="Arial" w:cs="Arial"/>
                <w:sz w:val="18"/>
                <w:szCs w:val="18"/>
                <w:lang w:val="en-US"/>
              </w:rPr>
              <w:t>7</w:t>
            </w:r>
            <w:r w:rsidR="000C104F" w:rsidRPr="00BF1285">
              <w:rPr>
                <w:rFonts w:ascii="Arial" w:hAnsi="Arial" w:cs="Arial"/>
                <w:sz w:val="18"/>
                <w:szCs w:val="18"/>
              </w:rPr>
              <w:t>,</w:t>
            </w:r>
            <w:r w:rsidR="00DD74E8">
              <w:rPr>
                <w:rFonts w:ascii="Arial" w:hAnsi="Arial" w:cs="Arial"/>
                <w:sz w:val="18"/>
                <w:szCs w:val="18"/>
                <w:lang w:val="en-US"/>
              </w:rPr>
              <w:t>97</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5049850E" w14:textId="79ECFBD7" w:rsidR="00E038E5" w:rsidRPr="008E69AE" w:rsidRDefault="008710CD" w:rsidP="00E038E5">
            <w:pPr>
              <w:jc w:val="center"/>
              <w:rPr>
                <w:rFonts w:ascii="Arial" w:hAnsi="Arial" w:cs="Arial"/>
                <w:sz w:val="18"/>
                <w:szCs w:val="18"/>
              </w:rPr>
            </w:pPr>
            <w:r>
              <w:rPr>
                <w:rFonts w:ascii="Arial" w:hAnsi="Arial" w:cs="Arial"/>
                <w:sz w:val="18"/>
                <w:szCs w:val="18"/>
                <w:lang w:val="en-US"/>
              </w:rPr>
              <w:t>USD</w:t>
            </w:r>
            <w:r w:rsidR="00E038E5">
              <w:rPr>
                <w:rFonts w:ascii="Arial" w:hAnsi="Arial" w:cs="Arial"/>
                <w:sz w:val="18"/>
                <w:szCs w:val="18"/>
              </w:rPr>
              <w:t xml:space="preserve"> 10</w:t>
            </w:r>
            <w:r w:rsidR="003E5B2D" w:rsidRPr="00BF1285">
              <w:rPr>
                <w:rFonts w:ascii="Arial" w:hAnsi="Arial" w:cs="Arial"/>
                <w:sz w:val="18"/>
                <w:szCs w:val="18"/>
              </w:rPr>
              <w:t>.</w:t>
            </w:r>
            <w:r w:rsidR="00BF4ED8">
              <w:rPr>
                <w:rFonts w:ascii="Arial" w:hAnsi="Arial" w:cs="Arial"/>
                <w:sz w:val="18"/>
                <w:szCs w:val="18"/>
                <w:lang w:val="en-US"/>
              </w:rPr>
              <w:t>0</w:t>
            </w:r>
            <w:r w:rsidR="00DD74E8">
              <w:rPr>
                <w:rFonts w:ascii="Arial" w:hAnsi="Arial" w:cs="Arial"/>
                <w:sz w:val="18"/>
                <w:szCs w:val="18"/>
                <w:lang w:val="en-US"/>
              </w:rPr>
              <w:t>5</w:t>
            </w:r>
            <w:r w:rsidR="00693700">
              <w:rPr>
                <w:rFonts w:ascii="Arial" w:hAnsi="Arial" w:cs="Arial"/>
                <w:sz w:val="18"/>
                <w:szCs w:val="18"/>
                <w:lang w:val="en-US"/>
              </w:rPr>
              <w:t>6</w:t>
            </w:r>
          </w:p>
          <w:p w14:paraId="5F0C84BC" w14:textId="7C2071F3" w:rsidR="00C26762" w:rsidRPr="00BF1285" w:rsidRDefault="00E038E5" w:rsidP="00693700">
            <w:pPr>
              <w:jc w:val="center"/>
              <w:rPr>
                <w:rFonts w:ascii="Arial" w:hAnsi="Arial" w:cs="Arial"/>
                <w:sz w:val="18"/>
                <w:szCs w:val="18"/>
              </w:rPr>
            </w:pPr>
            <w:r>
              <w:rPr>
                <w:rFonts w:ascii="Arial" w:hAnsi="Arial" w:cs="Arial"/>
                <w:sz w:val="18"/>
                <w:szCs w:val="18"/>
              </w:rPr>
              <w:t>(</w:t>
            </w:r>
            <w:r w:rsidRPr="0065435C">
              <w:rPr>
                <w:rFonts w:ascii="Arial" w:hAnsi="Arial" w:cs="Arial"/>
                <w:color w:val="000000" w:themeColor="text1"/>
                <w:sz w:val="18"/>
                <w:szCs w:val="18"/>
              </w:rPr>
              <w:t>100</w:t>
            </w:r>
            <w:r w:rsidR="004F2CAF" w:rsidRPr="0065435C">
              <w:rPr>
                <w:rFonts w:ascii="Arial" w:hAnsi="Arial" w:cs="Arial"/>
                <w:color w:val="000000" w:themeColor="text1"/>
                <w:sz w:val="18"/>
                <w:szCs w:val="18"/>
              </w:rPr>
              <w:t>,</w:t>
            </w:r>
            <w:r w:rsidR="0008074B" w:rsidRPr="0065435C">
              <w:rPr>
                <w:rFonts w:ascii="Arial" w:hAnsi="Arial" w:cs="Arial"/>
                <w:color w:val="000000" w:themeColor="text1"/>
                <w:sz w:val="18"/>
                <w:szCs w:val="18"/>
                <w:lang w:val="en-US"/>
              </w:rPr>
              <w:t>5</w:t>
            </w:r>
            <w:r w:rsidR="00693700" w:rsidRPr="0065435C">
              <w:rPr>
                <w:rFonts w:ascii="Arial" w:hAnsi="Arial" w:cs="Arial"/>
                <w:color w:val="000000" w:themeColor="text1"/>
                <w:sz w:val="18"/>
                <w:szCs w:val="18"/>
                <w:lang w:val="en-US"/>
              </w:rPr>
              <w:t>6</w:t>
            </w:r>
            <w:r w:rsidR="00C26762" w:rsidRPr="0065435C">
              <w:rPr>
                <w:rFonts w:ascii="Arial" w:hAnsi="Arial" w:cs="Arial"/>
                <w:color w:val="000000" w:themeColor="text1"/>
                <w:sz w:val="18"/>
                <w:szCs w:val="18"/>
              </w:rPr>
              <w:t>%</w:t>
            </w:r>
            <w:r w:rsidR="003E5B2D" w:rsidRPr="0065435C">
              <w:rPr>
                <w:rFonts w:ascii="Arial" w:hAnsi="Arial" w:cs="Arial"/>
                <w:color w:val="000000" w:themeColor="text1"/>
                <w:sz w:val="18"/>
                <w:szCs w:val="18"/>
              </w:rPr>
              <w:t>)</w:t>
            </w:r>
            <w:bookmarkStart w:id="0" w:name="_GoBack"/>
            <w:bookmarkEnd w:id="0"/>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C78CE14" w14:textId="16437425" w:rsidR="00BF4ED8" w:rsidRPr="00E038E5" w:rsidRDefault="00BF4ED8" w:rsidP="00BF4ED8">
            <w:pPr>
              <w:jc w:val="cente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3E5B2D" w:rsidRPr="00BF1285">
              <w:rPr>
                <w:rFonts w:ascii="Arial" w:hAnsi="Arial" w:cs="Arial"/>
                <w:sz w:val="18"/>
                <w:szCs w:val="18"/>
              </w:rPr>
              <w:t>10.</w:t>
            </w:r>
            <w:r>
              <w:rPr>
                <w:rFonts w:ascii="Arial" w:hAnsi="Arial" w:cs="Arial"/>
                <w:sz w:val="18"/>
                <w:szCs w:val="18"/>
                <w:lang w:val="en-US"/>
              </w:rPr>
              <w:t>0</w:t>
            </w:r>
            <w:r w:rsidR="00DD74E8">
              <w:rPr>
                <w:rFonts w:ascii="Arial" w:hAnsi="Arial" w:cs="Arial"/>
                <w:sz w:val="18"/>
                <w:szCs w:val="18"/>
                <w:lang w:val="en-US"/>
              </w:rPr>
              <w:t>5</w:t>
            </w:r>
            <w:r w:rsidR="00693700">
              <w:rPr>
                <w:rFonts w:ascii="Arial" w:hAnsi="Arial" w:cs="Arial"/>
                <w:sz w:val="18"/>
                <w:szCs w:val="18"/>
                <w:lang w:val="en-US"/>
              </w:rPr>
              <w:t>6</w:t>
            </w:r>
          </w:p>
          <w:p w14:paraId="2A0B0B67" w14:textId="0312FC3C" w:rsidR="00C26762" w:rsidRPr="00BF1285" w:rsidRDefault="003E5B2D" w:rsidP="00693700">
            <w:pPr>
              <w:jc w:val="center"/>
              <w:rPr>
                <w:rFonts w:ascii="Arial" w:hAnsi="Arial" w:cs="Arial"/>
                <w:sz w:val="18"/>
                <w:szCs w:val="18"/>
              </w:rPr>
            </w:pPr>
            <w:r w:rsidRPr="00BF1285">
              <w:rPr>
                <w:rFonts w:ascii="Arial" w:hAnsi="Arial" w:cs="Arial"/>
                <w:sz w:val="18"/>
                <w:szCs w:val="18"/>
              </w:rPr>
              <w:t>(</w:t>
            </w:r>
            <w:r w:rsidR="00AE7C63" w:rsidRPr="0065435C">
              <w:rPr>
                <w:rFonts w:ascii="Arial" w:hAnsi="Arial" w:cs="Arial"/>
                <w:color w:val="000000" w:themeColor="text1"/>
                <w:sz w:val="18"/>
                <w:szCs w:val="18"/>
              </w:rPr>
              <w:t>10</w:t>
            </w:r>
            <w:r w:rsidR="00BF4ED8" w:rsidRPr="0065435C">
              <w:rPr>
                <w:rFonts w:ascii="Arial" w:hAnsi="Arial" w:cs="Arial"/>
                <w:color w:val="000000" w:themeColor="text1"/>
                <w:sz w:val="18"/>
                <w:szCs w:val="18"/>
              </w:rPr>
              <w:t>0</w:t>
            </w:r>
            <w:r w:rsidR="004F2CAF" w:rsidRPr="0065435C">
              <w:rPr>
                <w:rFonts w:ascii="Arial" w:hAnsi="Arial" w:cs="Arial"/>
                <w:color w:val="000000" w:themeColor="text1"/>
                <w:sz w:val="18"/>
                <w:szCs w:val="18"/>
              </w:rPr>
              <w:t>,</w:t>
            </w:r>
            <w:r w:rsidR="0008074B" w:rsidRPr="0065435C">
              <w:rPr>
                <w:rFonts w:ascii="Arial" w:hAnsi="Arial" w:cs="Arial"/>
                <w:color w:val="000000" w:themeColor="text1"/>
                <w:sz w:val="18"/>
                <w:szCs w:val="18"/>
                <w:lang w:val="en-US"/>
              </w:rPr>
              <w:t>5</w:t>
            </w:r>
            <w:r w:rsidR="00693700" w:rsidRPr="0065435C">
              <w:rPr>
                <w:rFonts w:ascii="Arial" w:hAnsi="Arial" w:cs="Arial"/>
                <w:color w:val="000000" w:themeColor="text1"/>
                <w:sz w:val="18"/>
                <w:szCs w:val="18"/>
                <w:lang w:val="en-US"/>
              </w:rPr>
              <w:t>6</w:t>
            </w:r>
            <w:r w:rsidR="00C26762" w:rsidRPr="0065435C">
              <w:rPr>
                <w:rFonts w:ascii="Arial" w:hAnsi="Arial" w:cs="Arial"/>
                <w:color w:val="000000" w:themeColor="text1"/>
                <w:sz w:val="18"/>
                <w:szCs w:val="18"/>
              </w:rPr>
              <w:t>%</w:t>
            </w:r>
            <w:r w:rsidRPr="0065435C">
              <w:rPr>
                <w:rFonts w:ascii="Arial" w:hAnsi="Arial" w:cs="Arial"/>
                <w:color w:val="000000" w:themeColor="text1"/>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F738CAF"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710CD">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18F7EA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8710CD">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8A3C4B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8710CD">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C56A85F" w:rsidR="00C26762" w:rsidRPr="00D34895" w:rsidRDefault="00C26762" w:rsidP="008E69AE">
            <w:pPr>
              <w:rPr>
                <w:rFonts w:ascii="Arial" w:hAnsi="Arial" w:cs="Arial"/>
                <w:sz w:val="18"/>
                <w:szCs w:val="18"/>
              </w:rPr>
            </w:pPr>
            <w:r w:rsidRPr="00D34895">
              <w:rPr>
                <w:rFonts w:ascii="Arial" w:hAnsi="Arial" w:cs="Arial"/>
                <w:b/>
                <w:sz w:val="18"/>
                <w:szCs w:val="18"/>
              </w:rPr>
              <w:t xml:space="preserve">Σενάρια με Επιτόκιο Αναφοράς </w:t>
            </w:r>
            <w:r w:rsidR="008E69AE">
              <w:rPr>
                <w:rFonts w:ascii="Arial" w:hAnsi="Arial" w:cs="Arial"/>
                <w:b/>
                <w:sz w:val="18"/>
                <w:szCs w:val="18"/>
              </w:rPr>
              <w:t>1</w:t>
            </w:r>
            <w:r w:rsidRPr="00BF1285">
              <w:rPr>
                <w:rFonts w:ascii="Arial" w:hAnsi="Arial" w:cs="Arial"/>
                <w:b/>
                <w:sz w:val="18"/>
                <w:szCs w:val="18"/>
              </w:rPr>
              <w:t>,</w:t>
            </w:r>
            <w:r w:rsidR="008E69AE">
              <w:rPr>
                <w:rFonts w:ascii="Arial" w:hAnsi="Arial" w:cs="Arial"/>
                <w:b/>
                <w:sz w:val="18"/>
                <w:szCs w:val="18"/>
              </w:rPr>
              <w:t>4</w:t>
            </w:r>
            <w:r w:rsidR="0072509B">
              <w:rPr>
                <w:rFonts w:ascii="Arial" w:hAnsi="Arial" w:cs="Arial"/>
                <w:b/>
                <w:sz w:val="18"/>
                <w:szCs w:val="18"/>
              </w:rPr>
              <w:t>5</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F34F64F" w:rsidR="00C26762" w:rsidRPr="00FB6BE5" w:rsidRDefault="008710CD" w:rsidP="00C26762">
            <w:pP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C26762" w:rsidRPr="00BF1285">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E03D195" w:rsidR="00C26762" w:rsidRPr="00FB6BE5" w:rsidRDefault="008710CD" w:rsidP="000512B8">
            <w:pP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C26762" w:rsidRPr="00BF1285">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1CF18551" w:rsidR="00C26762" w:rsidRPr="00E2301E" w:rsidRDefault="00C26762" w:rsidP="00E038E5">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67175A">
              <w:rPr>
                <w:rFonts w:ascii="Arial" w:hAnsi="Arial" w:cs="Arial"/>
                <w:bCs/>
                <w:sz w:val="18"/>
                <w:szCs w:val="18"/>
              </w:rPr>
              <w:t>το</w:t>
            </w:r>
            <w:r w:rsidR="00E038E5">
              <w:rPr>
                <w:rFonts w:ascii="Arial" w:hAnsi="Arial" w:cs="Arial"/>
                <w:bCs/>
                <w:sz w:val="18"/>
                <w:szCs w:val="18"/>
              </w:rPr>
              <w:t>ν</w:t>
            </w:r>
            <w:r w:rsidRPr="00BF1285">
              <w:rPr>
                <w:rFonts w:ascii="Arial" w:hAnsi="Arial" w:cs="Arial"/>
                <w:bCs/>
                <w:sz w:val="18"/>
                <w:szCs w:val="18"/>
              </w:rPr>
              <w:t xml:space="preserve"> </w:t>
            </w:r>
            <w:r w:rsidR="00E038E5">
              <w:rPr>
                <w:rFonts w:ascii="Arial" w:hAnsi="Arial" w:cs="Arial"/>
                <w:bCs/>
                <w:sz w:val="18"/>
                <w:szCs w:val="18"/>
              </w:rPr>
              <w:t>1</w:t>
            </w:r>
            <w:r w:rsidR="0067175A">
              <w:rPr>
                <w:rFonts w:ascii="Arial" w:hAnsi="Arial" w:cs="Arial"/>
                <w:bCs/>
                <w:sz w:val="18"/>
                <w:szCs w:val="18"/>
              </w:rPr>
              <w:t xml:space="preserve"> </w:t>
            </w:r>
            <w:r w:rsidRPr="00BF1285">
              <w:rPr>
                <w:rFonts w:ascii="Arial" w:hAnsi="Arial" w:cs="Arial"/>
                <w:bCs/>
                <w:sz w:val="18"/>
                <w:szCs w:val="18"/>
              </w:rPr>
              <w:t>μήν</w:t>
            </w:r>
            <w:r w:rsidR="00E038E5">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CB5053">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E31E0FF" w14:textId="77777777" w:rsidR="00CB5053" w:rsidRPr="008D7FD9" w:rsidRDefault="00CB5053" w:rsidP="00CB5053">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A914FCF" w14:textId="77777777" w:rsidR="00CB5053" w:rsidRPr="00487BB7" w:rsidRDefault="00CB5053" w:rsidP="00CB5053">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3AF8261" w14:textId="77777777" w:rsidR="00CB5053" w:rsidRPr="008D7FD9" w:rsidRDefault="00CB5053" w:rsidP="00CB505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F299656" w14:textId="77777777" w:rsidR="00CB5053" w:rsidRPr="008D7FD9" w:rsidRDefault="00CB5053" w:rsidP="00CB505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39792594" w:rsidR="00C26762" w:rsidRPr="0005696A" w:rsidRDefault="00CB5053" w:rsidP="00CB5053">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D5F3AAD"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65435C">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65435C">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D5A1D8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8074B"/>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74B1A"/>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5435C"/>
    <w:rsid w:val="0066287D"/>
    <w:rsid w:val="0067175A"/>
    <w:rsid w:val="00693700"/>
    <w:rsid w:val="00693FB6"/>
    <w:rsid w:val="006A2A33"/>
    <w:rsid w:val="006A3051"/>
    <w:rsid w:val="006B4D95"/>
    <w:rsid w:val="006B7E67"/>
    <w:rsid w:val="006C243A"/>
    <w:rsid w:val="006C2E9E"/>
    <w:rsid w:val="006D67F4"/>
    <w:rsid w:val="006D7710"/>
    <w:rsid w:val="006F3BA6"/>
    <w:rsid w:val="00703F63"/>
    <w:rsid w:val="00707F14"/>
    <w:rsid w:val="0072509B"/>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6A43"/>
    <w:rsid w:val="008474C6"/>
    <w:rsid w:val="00857CE5"/>
    <w:rsid w:val="00862064"/>
    <w:rsid w:val="00864119"/>
    <w:rsid w:val="00867D1D"/>
    <w:rsid w:val="008710CD"/>
    <w:rsid w:val="008828EA"/>
    <w:rsid w:val="008851EF"/>
    <w:rsid w:val="00890090"/>
    <w:rsid w:val="00895595"/>
    <w:rsid w:val="008B39CB"/>
    <w:rsid w:val="008B789F"/>
    <w:rsid w:val="008C0830"/>
    <w:rsid w:val="008E5043"/>
    <w:rsid w:val="008E69AE"/>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BF4ED8"/>
    <w:rsid w:val="00C161D9"/>
    <w:rsid w:val="00C169DD"/>
    <w:rsid w:val="00C21F81"/>
    <w:rsid w:val="00C26762"/>
    <w:rsid w:val="00C275E6"/>
    <w:rsid w:val="00C34461"/>
    <w:rsid w:val="00C3785C"/>
    <w:rsid w:val="00C559F9"/>
    <w:rsid w:val="00CA7C44"/>
    <w:rsid w:val="00CB29C7"/>
    <w:rsid w:val="00CB5053"/>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D74E8"/>
    <w:rsid w:val="00DE6E32"/>
    <w:rsid w:val="00E00B56"/>
    <w:rsid w:val="00E038E5"/>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C50A6"/>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C721-0798-4126-962F-80FC0CBB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5</cp:revision>
  <cp:lastPrinted>2018-03-06T07:04:00Z</cp:lastPrinted>
  <dcterms:created xsi:type="dcterms:W3CDTF">2021-02-01T10:08:00Z</dcterms:created>
  <dcterms:modified xsi:type="dcterms:W3CDTF">2021-02-04T13:50:00Z</dcterms:modified>
</cp:coreProperties>
</file>